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left w:w="0" w:type="dxa"/>
          <w:right w:w="0" w:type="dxa"/>
        </w:tblCellMar>
        <w:tblLook w:val="04A0"/>
      </w:tblPr>
      <w:tblGrid>
        <w:gridCol w:w="8306"/>
      </w:tblGrid>
      <w:tr w:rsidR="00525C26" w:rsidRPr="00525C26" w:rsidTr="00525C26">
        <w:trPr>
          <w:tblCellSpacing w:w="0" w:type="dxa"/>
          <w:jc w:val="center"/>
        </w:trPr>
        <w:tc>
          <w:tcPr>
            <w:tcW w:w="0" w:type="auto"/>
            <w:vAlign w:val="center"/>
            <w:hideMark/>
          </w:tcPr>
          <w:tbl>
            <w:tblPr>
              <w:tblW w:w="4700" w:type="pct"/>
              <w:jc w:val="center"/>
              <w:tblCellSpacing w:w="0" w:type="dxa"/>
              <w:tblCellMar>
                <w:left w:w="0" w:type="dxa"/>
                <w:right w:w="0" w:type="dxa"/>
              </w:tblCellMar>
              <w:tblLook w:val="04A0"/>
            </w:tblPr>
            <w:tblGrid>
              <w:gridCol w:w="7808"/>
            </w:tblGrid>
            <w:tr w:rsidR="00525C26" w:rsidRPr="00525C26">
              <w:trPr>
                <w:tblCellSpacing w:w="0" w:type="dxa"/>
                <w:jc w:val="center"/>
              </w:trPr>
              <w:tc>
                <w:tcPr>
                  <w:tcW w:w="4900" w:type="pct"/>
                  <w:vAlign w:val="center"/>
                  <w:hideMark/>
                </w:tcPr>
                <w:p w:rsidR="00525C26" w:rsidRPr="00525C26" w:rsidRDefault="00525C26" w:rsidP="00525C26">
                  <w:pPr>
                    <w:adjustRightInd/>
                    <w:snapToGrid/>
                    <w:spacing w:after="0"/>
                    <w:jc w:val="center"/>
                    <w:rPr>
                      <w:rFonts w:ascii="宋体" w:eastAsia="宋体" w:hAnsi="宋体" w:cs="宋体"/>
                      <w:color w:val="000000"/>
                      <w:sz w:val="24"/>
                      <w:szCs w:val="24"/>
                    </w:rPr>
                  </w:pPr>
                  <w:r w:rsidRPr="00525C26">
                    <w:rPr>
                      <w:rFonts w:ascii="宋体" w:eastAsia="宋体" w:hAnsi="宋体" w:cs="宋体"/>
                      <w:b/>
                      <w:bCs/>
                      <w:color w:val="000000"/>
                      <w:sz w:val="48"/>
                      <w:szCs w:val="48"/>
                    </w:rPr>
                    <w:t xml:space="preserve">中华人民共和国政府采购法（全文） </w:t>
                  </w:r>
                </w:p>
              </w:tc>
            </w:tr>
          </w:tbl>
          <w:p w:rsidR="00525C26" w:rsidRPr="00525C26" w:rsidRDefault="00525C26" w:rsidP="00525C26">
            <w:pPr>
              <w:adjustRightInd/>
              <w:snapToGrid/>
              <w:spacing w:after="0"/>
              <w:jc w:val="center"/>
              <w:rPr>
                <w:rFonts w:ascii="宋体" w:eastAsia="宋体" w:hAnsi="宋体" w:cs="宋体"/>
                <w:color w:val="000000"/>
                <w:sz w:val="24"/>
                <w:szCs w:val="24"/>
              </w:rPr>
            </w:pPr>
          </w:p>
        </w:tc>
      </w:tr>
      <w:tr w:rsidR="00525C26" w:rsidRPr="00525C26" w:rsidTr="00525C26">
        <w:trPr>
          <w:tblCellSpacing w:w="0" w:type="dxa"/>
          <w:jc w:val="center"/>
        </w:trPr>
        <w:tc>
          <w:tcPr>
            <w:tcW w:w="0" w:type="auto"/>
            <w:vAlign w:val="center"/>
            <w:hideMark/>
          </w:tcPr>
          <w:p w:rsidR="00525C26" w:rsidRPr="00525C26" w:rsidRDefault="00525C26" w:rsidP="00525C26">
            <w:pPr>
              <w:adjustRightInd/>
              <w:snapToGrid/>
              <w:spacing w:after="0"/>
              <w:jc w:val="center"/>
              <w:rPr>
                <w:rFonts w:ascii="宋体" w:eastAsia="宋体" w:hAnsi="宋体" w:cs="宋体"/>
                <w:color w:val="000000"/>
                <w:sz w:val="24"/>
                <w:szCs w:val="24"/>
              </w:rPr>
            </w:pPr>
            <w:r w:rsidRPr="00525C26">
              <w:rPr>
                <w:rFonts w:ascii="宋体" w:eastAsia="宋体" w:hAnsi="宋体" w:cs="宋体"/>
                <w:color w:val="000000"/>
                <w:sz w:val="24"/>
                <w:szCs w:val="24"/>
              </w:rPr>
              <w:t xml:space="preserve">    2005-2-1 </w:t>
            </w:r>
          </w:p>
        </w:tc>
      </w:tr>
      <w:tr w:rsidR="00525C26" w:rsidRPr="00525C26" w:rsidTr="00525C26">
        <w:trPr>
          <w:tblCellSpacing w:w="0" w:type="dxa"/>
          <w:jc w:val="center"/>
        </w:trPr>
        <w:tc>
          <w:tcPr>
            <w:tcW w:w="0" w:type="auto"/>
            <w:vAlign w:val="center"/>
            <w:hideMark/>
          </w:tcPr>
          <w:tbl>
            <w:tblPr>
              <w:tblW w:w="4500" w:type="pct"/>
              <w:jc w:val="center"/>
              <w:tblCellSpacing w:w="0" w:type="dxa"/>
              <w:tblCellMar>
                <w:top w:w="45" w:type="dxa"/>
                <w:left w:w="45" w:type="dxa"/>
                <w:bottom w:w="45" w:type="dxa"/>
                <w:right w:w="45" w:type="dxa"/>
              </w:tblCellMar>
              <w:tblLook w:val="04A0"/>
            </w:tblPr>
            <w:tblGrid>
              <w:gridCol w:w="7475"/>
            </w:tblGrid>
            <w:tr w:rsidR="00525C26" w:rsidRPr="00525C26">
              <w:trPr>
                <w:tblCellSpacing w:w="0" w:type="dxa"/>
                <w:jc w:val="center"/>
              </w:trPr>
              <w:tc>
                <w:tcPr>
                  <w:tcW w:w="0" w:type="auto"/>
                  <w:vAlign w:val="center"/>
                  <w:hideMark/>
                </w:tcPr>
                <w:p w:rsidR="00525C26" w:rsidRPr="00525C26" w:rsidRDefault="00525C26" w:rsidP="00525C26">
                  <w:pPr>
                    <w:adjustRightInd/>
                    <w:snapToGrid/>
                    <w:spacing w:after="0"/>
                    <w:jc w:val="center"/>
                    <w:rPr>
                      <w:rFonts w:ascii="宋体" w:eastAsia="宋体" w:hAnsi="宋体" w:cs="宋体"/>
                      <w:color w:val="000000"/>
                      <w:sz w:val="24"/>
                      <w:szCs w:val="24"/>
                    </w:rPr>
                  </w:pPr>
                  <w:r w:rsidRPr="00525C26">
                    <w:rPr>
                      <w:rFonts w:ascii="宋体" w:eastAsia="宋体" w:hAnsi="宋体" w:cs="宋体"/>
                      <w:color w:val="000000"/>
                      <w:sz w:val="20"/>
                      <w:szCs w:val="20"/>
                    </w:rPr>
                    <w:t>2002年6月29日第九届全国人民代表大会常务委员会第二十八次会议通过</w:t>
                  </w:r>
                </w:p>
              </w:tc>
            </w:tr>
            <w:tr w:rsidR="00525C26" w:rsidRPr="00525C26">
              <w:trPr>
                <w:tblCellSpacing w:w="0" w:type="dxa"/>
                <w:jc w:val="center"/>
              </w:trPr>
              <w:tc>
                <w:tcPr>
                  <w:tcW w:w="0" w:type="auto"/>
                  <w:vAlign w:val="center"/>
                  <w:hideMark/>
                </w:tcPr>
                <w:p w:rsidR="00525C26" w:rsidRPr="00525C26" w:rsidRDefault="00525C26" w:rsidP="00525C26">
                  <w:pPr>
                    <w:adjustRightInd/>
                    <w:snapToGrid/>
                    <w:spacing w:after="0"/>
                    <w:jc w:val="center"/>
                    <w:rPr>
                      <w:rFonts w:ascii="宋体" w:eastAsia="宋体" w:hAnsi="宋体" w:cs="宋体"/>
                      <w:color w:val="000000"/>
                      <w:sz w:val="24"/>
                      <w:szCs w:val="24"/>
                    </w:rPr>
                  </w:pPr>
                </w:p>
              </w:tc>
            </w:tr>
            <w:tr w:rsidR="00525C26" w:rsidRPr="00525C26">
              <w:trPr>
                <w:tblCellSpacing w:w="0" w:type="dxa"/>
                <w:jc w:val="center"/>
              </w:trPr>
              <w:tc>
                <w:tcPr>
                  <w:tcW w:w="0" w:type="auto"/>
                  <w:vAlign w:val="center"/>
                  <w:hideMark/>
                </w:tcPr>
                <w:p w:rsidR="00525C26" w:rsidRPr="00525C26" w:rsidRDefault="00525C26" w:rsidP="00525C26">
                  <w:pPr>
                    <w:adjustRightInd/>
                    <w:snapToGrid/>
                    <w:spacing w:after="0"/>
                    <w:rPr>
                      <w:rFonts w:ascii="宋体" w:eastAsia="宋体" w:hAnsi="宋体" w:cs="宋体"/>
                      <w:color w:val="000000"/>
                      <w:sz w:val="24"/>
                      <w:szCs w:val="24"/>
                    </w:rPr>
                  </w:pPr>
                  <w:r w:rsidRPr="00525C26">
                    <w:rPr>
                      <w:rFonts w:ascii="宋体" w:eastAsia="宋体" w:hAnsi="宋体" w:cs="宋体"/>
                      <w:color w:val="000000"/>
                      <w:sz w:val="24"/>
                      <w:szCs w:val="24"/>
                    </w:rPr>
                    <w:t>     </w:t>
                  </w:r>
                  <w:r w:rsidRPr="00525C26">
                    <w:rPr>
                      <w:rFonts w:ascii="宋体" w:eastAsia="宋体" w:hAnsi="宋体" w:cs="宋体"/>
                      <w:color w:val="000000"/>
                      <w:sz w:val="24"/>
                      <w:szCs w:val="24"/>
                    </w:rPr>
                    <w:br/>
                    <w:t>    目  录</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第一章  总  则</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第二章  政府采购当事人</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第三章  政府采购方式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第四章  政府采购程序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第五章  政府采购合同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第六章  质疑与投诉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第七章  监督检查</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第八章  法律责任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第九章  附  则</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第一章  总  则</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第一条  为了规范政府采购行为，提高政府采购资金的使用效益，维护国家利益和社会公共利益，保护政府采购当事人的合法权益，促进廉政建设，制定本法。</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第二条  在中华人民共和国境内进行的政府采购适用本法。</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本法所称政府采购，是指各级国家机关、事业单位和团体组织，使用财政性资金采购依法制定的集中采购目录以内的或者采购限额标准以上的货物、工程和服务的行为。</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政府集中采购目录和采购限额标准依照本法规定的权限制定。</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本法所称采购，是指以合同方式有偿取得货物、工程和服务的行为，包括购买、租赁、委托、雇用等。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t>    本法所称货物，是指各种形态和种类的物品，包括原材料、燃料、设备、产品等。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本法所称工程，是指建设工程，包括建筑物和构筑物的新建、改建、扩建、装修、拆除、修缮等。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本法所称服务，是指除货物和工程以外的其他政府采购对象。</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第三条  政府采购应当遵循公开透明原则、公平竞争原则、公正原则和诚实信用原则。</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第四条  政府采购工程进行招标投标的，适用招标投标法。</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第五条  任何单位和个人不得采用任何方式，阻挠和限制供应商自由进入本地区和本行业的政府采购市场。</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第六条  政府采购应当严格按照批准的预算执行。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第七条  政府采购实行集中采购和分散采购相结合。集中采购的范围由省级以上人民政府公布的集中采购目录确定。</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属于中央预算的政府采购项目，其集中采购目录由国务院确定并公布；属于地方预算的政府采购项目，其集中采购目录由省、自治区、直辖市人民政府或者其授权的机构确定并公布。</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纳入集中采购目录的政府采购项目，应当实行集中采购。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第八条  政府采购限额标准，属于中央预算的政府采购项目，由国务院确定并公布；属于地方预算的政府采购项目，由省、自治区、直辖市人民政府或者其授权的机构确定并公布。</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第九条  政府采购应当有助于实现国家的经济和社会发展政策目标，包括保护环境，扶持不发达地区和少数民族地区，促进中小企业发展等。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第十条  政府采购应当采购本国货物、工程和服务。但有下列情形之一的除外：</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（一）需要采购的货物、工程或者服务在中国境内无法获取或者无法以合理的商业条件获取的；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（二）为在中国境外使用而进行采购的；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br/>
                    <w:t>    （三）其他法律、行政法规另有规定的。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前款所称本国货物、工程和服务的界定，依照国务院有关规定执行。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第十一条  政府采购的信息应当在政府采购监督管理部门指定的媒体上及时向社会公开发布，但涉及商业秘密的除外。</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第十二条  在政府采购活动中，采购人员及相关人员与供应商有利害关系的，必须回避。供应商认为采购人员及相关人员与其他供应商有利害关系的，可以申请其回避。</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前款所称相关人员，包括招标采购中评标委员会的组成人员，竞争性谈判采购中谈判小组的组成人员，询价采购中询价小组的组成人员等。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第十三条  各级人民政府财政部门是负责政府采购监督管理的部门，依法履行对政府采购活动的监督管理职责。</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各级人民政府其他有关部门依法履行与政府采购活动有关的监督管理职责。</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第二章  政府采购当事人</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第十四条  政府采购当事人是指在政府采购活动中享有权利和承担义务的各类主体，包括采购人、供应商和采购代理机构等。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第十五条  采购人是指依法进行政府采购的国家机关、事业单位、团体组织。</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第十六条  集中采购机构为采购代理机构。设区的市、自治州以上人民政府根据本级政府采购项目组织集中采购的需要设立集中采购机构。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集中采购机构是非营利事业法人，根据采购人的委托办理采购事宜。</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第十七条  集中采购机构进行政府采购活动，应当符合采购价格低于市场平均价格、采购效率更高、采购质量优良和服务良好</w:t>
                  </w:r>
                  <w:r w:rsidRPr="00525C26">
                    <w:rPr>
                      <w:rFonts w:ascii="宋体" w:eastAsia="宋体" w:hAnsi="宋体" w:cs="宋体"/>
                      <w:color w:val="000000"/>
                      <w:sz w:val="24"/>
                      <w:szCs w:val="24"/>
                    </w:rPr>
                    <w:lastRenderedPageBreak/>
                    <w:t>的要求。</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第十八条  采购人采购纳入集中采购目录的政府采购项目，必须委托集中采购机构代理采购；采购未纳入集中采购目录的政府采购项目，可以自行采购，也可以委托集中采购机构在委托的范围内代理采购。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纳入集中采购目录属于通用的政府采购项目的，应当委托集中采购机构代理采购；属于本部门、本系统有特殊要求的项目，应当实行部门集中采购；属于本单位有特殊要求的项目，经省级以上人民政府批准，可以自行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第十九条  采购人可以委托经国务院有关部门或者省级人民政府有关部门认定资格的采购代理机构，在委托的范围内办理政府采购事宜。</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采购人有权自行选择采购代理机构，任何单位和个人不得以任何方式为采购人指定采购代理机构。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第二十条  采购人依法委托采购代理机构办理采购事宜的，应当由采购人与采购代理机构签订委托代理协议，依法确定委托代理的事项，约定双方的权利义务。</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第二十一条  供应商是指向采购人提供货物、工程或者服务的法人、其他组织或者自然人。</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第二十二条  供应商参加政府采购活动应当具备下列条件：</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（一）具有独立承担民事责任的能力；</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（二）具有良好的商业信誉和健全的财务会计制度；</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（三）具有履行合同所必需的设备和专业技术能力；</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（四）有依法缴纳税收和社会保障资金的良好记录；</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（五）参加政府采购活动前三年内，在经营活动中没有重大违法记录；</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（六）法律、行政法规规定的其他条件。</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采购人可以根据采购项目的特殊要求，规定供应商的特定条件，但不得以不合理的条件对供应商实行差别待遇或者歧视待遇。</w:t>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br/>
                    <w:t>    第二十三条  采购人可以要求参加政府采购的供应商提供有关资质证明文件和业绩情况，并根据本法规定的供应商条件和采购项目对供应商的特定要求，对供应商的资格进行审查。</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第二十四条  两个以上的自然人、法人或者其他组织可以组成一个联合体，以一个供应商的身份共同参加政府采购。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第二十五条  政府采购当事人不得相互串通损害国家利益、社会公共利益和其他当事人的合法权益；不得以任何手段排斥其他供应商参与竞争。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供应商不得以向采购人、采购代理机构、评标委员会的组成人员、竞争性谈判小组的组成人员、询价小组的组成人员行贿或者采取其他不正当手段谋取中标或者成交。</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采购代理机构不得以向采购人行贿或者采取其他不正当手段谋取非法利益。</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第三章  政府采购方式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第二十六条  政府采购采用以下方式：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（一）公开招标；</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（二）邀请招标；</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（三）竞争性谈判；</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（四）单一来源采购；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（五）询价；</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（六）国务院政府采购监督管理部门认定的其他采购方式。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t>    公开招标应作为政府采购的主要采购方式。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第二十八条  采购人不得将应当以公开招标方式采购的货物或者服务化整为零或者以其他任何方式规避公开招标采购。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第二十九条  符合下列情形之一的货物或者服务，可以依照本法采用邀请招标方式采购：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（一）具有特殊性，只能从有限范围的供应商处采购的；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（二）采用公开招标方式的费用占政府采购项目总价值的比例过大的。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第三十条  符合下列情形之一的货物或者服务，可以依照本法采用竞争性谈判方式采购：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（一）招标后没有供应商投标或者没有合格标的或者重新招标未能成立的；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（二）技术复杂或者性质特殊，不能确定详细规格或者具体要求的；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（三）采用招标所需时间不能满足用户紧急需要的；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（四）不能事先计算出价格总额的。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第三十一条  符合下列情形之一的货物或者服务，可以依照本法采用单一来源方式采购：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（一）只能从唯一供应商处采购的；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（二）发生了不可预见的紧急情况不能从其他供应商处采购的；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（三）必须保证原有采购项目一致性或者服务配套的要求，需要继续从原供应商处添购，且添购资金总额不超过原合同采购金额百分之十的。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br/>
                    <w:t>    第三十二条  采购的货物规格、标准统一、现货货源充足且价格变化幅度小的政府采购项目，可以依照本法采用询价方式采购。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第四章  政府采购程序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第三十三条  负有编制部门预算职责的部门在编制下一财政年度部门预算时，应当将该财政年度政府采购的项目及资金预算列出，报本级财政部门汇总。部门预算的审批，按预算管理权限和程序进行。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第三十四条  货物或者服务项目采取邀请招标方式采购的，采购人应当从符合相应资格条件的供应商中，通过随机方式选择三家以上的供应商，并向其发出投标邀请书。</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第三十五条  货物和服务项目实行招标方式采购的，自招标文件开始发出之日起至投标人提交投标文件截止之日止，不得少于二十日。</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第三十六条  在招标采购中，出现下列情形之一的，应予废标：</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（一）符合专业条件的供应商或者对招标文件作实质响应的供应商不足三家的；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（二）出现影响采购公正的违法、违规行为的；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（三）投标人的报价均超过了采购预算，采购人不能支付的；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（四）因重大变故，采购任务取消的。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废标后，采购人应当将废标理由通知所有投标人。</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第三十七条  废标后，除采购任务取消情形外，应当重新组织招标；需要采取其他方式采购的，应当在采购活动开始前获得设区的市、自治州以上人民政府采购监督管理部门或者政府有关部门批准。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第三十八条  采用竞争性谈判方式采购的，应当遵循下列程序：</w:t>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br/>
                    <w:t>    （一）成立谈判小组。谈判小组由采购人的代表和有关专家共三人以上的单数组成，其中专家的人数不得少于成员总数的三分之二。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（二）制定谈判文件。谈判文件应当明确谈判程序、谈判内容、合同草案的条款以及评定成交的标准等事项。</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（三）确定邀请参加谈判的供应商名单。谈判小组从符合相应资格条件的供应商名单中确定不少于三家的供应商参加谈判，并向其提供谈判文件。</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第三十九条  采取单一来源方式采购的，采购人与供应商应当遵循本法规定的原则，在保证采购项目质量和双方商定合理价格的基础上进行采购。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第四十条  采取询价方式采购的，应当遵循下列程序：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（一）成立询价小组。询价小组由采购人的代表和有关专家共三人以上的单数组成，其中专家的人数不得少于成员总数的三分之二。询价小组应当对采购项目的价格构成和评定成交的标准等事项作出规定。</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（二）确定被询价的供应商名单。询价小组根据采购需求，从符合相应资格条件的供应商名单中确定不少于三家的供应商，并向其发出询价通知书让其报价。</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（三）询价。询价小组要求被询价的供应商一次报出不得更改的价格。</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（四）确定成交供应商。采购人根据符合采购需求、质量和服务相等且报价最低的原则确定成交供应商，并将结果通知所有被询价的未成交的供应商。</w:t>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br/>
                    <w:t>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第四十二条  采购人、采购代理机构对政府采购项目每项采购活动的采购文件应当妥善保存，不得伪造、变造、隐匿或者销毁。采购文件的保存期限为从采购结束之日起至少保存十五年。</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采购文件包括采购活动记录、采购预算、招标文件、投标文件、评标标准、评估报告、定标文件、合同文本、验收证明、质疑答复、投诉处理决定及其他有关文件、资料。</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采购活动记录至少应当包括下列内容：</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（一）采购项目类别、名称；</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（二）采购项目预算、资金构成和合同价格；</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（三）采购方式，采用公开招标以外的采购方式的，应当载明原因；</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（四）邀请和选择供应商的条件及原因；</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（五）评标标准及确定中标人的原因；</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（六）废标的原因；</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（七）采用招标以外采购方式的相应记载。</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第五章  政府采购合同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第四十三条  政府采购合同适用合同法。采购人和供应商之间的权利和义务，应当按照平等、自愿的原则以合同方式约定。</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采购人可以委托采购代理机构代表其与供应商签订政府采购合同。由采购代理机构以采购人名义签订合同的，应当提交采购人的授权委托书，作为合同附件。</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t>    第四十四条  政府采购合同应当采用书面形式。</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第四十五条  国务院政府采购监督管理部门应当会同国务院有关部门，规定政府采购合同必须具备的条款。</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第四十六条  采购人与中标、成交供应商应当在中标、成交通知书发出之日起三十日内，按照采购文件确定的事项签订政府采购合同。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中标、成交通知书对采购人和中标、成交供应商均具有法律效力。中标、成交通知书发出后，采购人改变中标、成交结果的，或者中标、成交供应商放弃中标、成交项目的，应当依法承担法律责任。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第四十七条  政府采购项目的采购合同自签订之日起七个工作日内，采购人应当将合同副本报同级政府采购监督管理部门和有关部门备案。</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第四十八条  经采购人同意，中标、成交供应商可以依法采取分包方式履行合同。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政府采购合同分包履行的，中标、成交供应商就采购项目和分包项目向采购人负责，分包供应商就分包项目承担责任。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第五十条  政府采购合同的双方当事人不得擅自变更、中止或者终止合同。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政府采购合同继续履行将损害国家利益和社会公共利益的，双方当事人应当变更、中止或者终止合同。有过错的一方应当承担赔偿责任，双方都有过错的，各自承担相应的责任。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第六章  质疑与投诉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第五十一条  供应商对政府采购活动事项有疑问的，可以向采购人提出询问，采购人应当及时作出答复，但答复的内容不得涉</w:t>
                  </w:r>
                  <w:r w:rsidRPr="00525C26">
                    <w:rPr>
                      <w:rFonts w:ascii="宋体" w:eastAsia="宋体" w:hAnsi="宋体" w:cs="宋体"/>
                      <w:color w:val="000000"/>
                      <w:sz w:val="24"/>
                      <w:szCs w:val="24"/>
                    </w:rPr>
                    <w:lastRenderedPageBreak/>
                    <w:t>及商业秘密。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第五十二条  供应商认为采购文件、采购过程和中标、成交结果使自己的权益受到损害的，可以在知道或者应知其权益受到损害之日起七个工作日内，以书面形式向采购人提出质疑。</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第五十三条  采购人应当在收到供应商的书面质疑后七个工作日内作出答复，并以书面形式通知质疑供应商和其他有关供应商，但答复的内容不得涉及商业秘密。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第五十四条  采购人委托采购代理机构采购的，供应商可以向采购代理机构提出询问或者质疑，采购代理机构应当依照本法第五十一条、第五十三条的规定就采购人委托授权范围内的事项作出答复。</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第五十五条  质疑供应商对采购人、采购代理机构的答复不满意或者采购人、采购代理机构未在规定的时间内作出答复的，可以在答复期满后十五个工作日内向同级政府采购监督管理部门投诉。</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第五十六条  政府采购监督管理部门应当在收到投诉后三十个工作日内，对投诉事项作出处理决定，并以书面形式通知投诉人和与投诉事项有关的当事人。</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第五十七条  政府采购监督管理部门在处理投诉事项期间，可以视具体情况书面通知采购人暂停采购活动，但暂停时间最长不得超过三十日。</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第五十八条  投诉人对政府采购监督管理部门的投诉处理决定不服或者政府采购监督管理部门逾期未作处理的，可以依法申请行政复议或者向人民法院提起行政诉讼。</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第七章  监督检查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第五十九条  政府采购监督管理部门应当加强对政府采购活动及集中采购机构的监督检查。</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监督检查的主要内容是：</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（一）有关政府采购的法律、行政法规和规章的执行情况；</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（二）采购范围、采购方式和采购程序的执行情况；</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t>    （三）政府采购人员的职业素质和专业技能。</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第六十条  政府采购监督管理部门不得设置集中采购机构，不得参与政府采购项目的采购活动。</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采购代理机构与行政机关不得存在隶属关系或者其他利益关系。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第六十一条  集中采购机构应当建立健全内部监督管理制度。采购活动的决策和执行程序应当明确，并相互监督、相互制约。经办采购的人员与负责采购合同审核、验收人员的职责权限应当明确，并相互分离。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第六十二条  集中采购机构的采购人员应当具有相关职业素质和专业技能，符合政府采购监督管理部门规定的专业岗位任职要求。</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集中采购机构对其工作人员应当加强教育和培训；对采购人员的专业水平、工作实绩和职业道德状况定期进行考核。采购人员经考核不合格的，不得继续任职。</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第六十三条  政府采购项目的采购标准应当公开。</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采用本法规定的采购方式的，采购人在采购活动完成后，应当将采购结果予以公布。</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第六十四条  采购人必须按照本法规定的采购方式和采购程序进行采购。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任何单位和个人不得违反本法规定，要求采购人或者采购工作人员向其指定的供应商进行采购。</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第六十五条  政府采购监督管理部门应当对政府采购项目的采购活动进行检查，政府采购当事人应当如实反映情况，提供有关材料。</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第六十六条  政府采购监督管理部门应当对集中采购机构的采购价格、节约资金效果、服务质量、信誉状况、有无违法行为等事项进行考核，并定期如实公布考核结果。</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第六十七条  依照法律、行政法规的规定对政府采购负有行政监督职责的政府有关部门，应当按照其职责分工，加强对政府采购活动的监督。</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t>    第六十八条  审计机关应当对政府采购进行审计监督。政府采购监督管理部门、政府采购各当事人有关政府采购活动，应当接受审计机关的审计监督。</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第六十九条  监察机关应当加强对参与政府采购活动的国家机关、国家公务员和国家行政机关任命的其他人员实施监察。</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第七十条  任何单位和个人对政府采购活动中的违法行为，有权控告和检举，有关部门、机关应当依照各自职责及时处理。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第八章  法律责任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第七十一条  采购人、采购代理机构有下列情形之一的，责令限期改正，给予警告，可以并处罚款，对直接负责的主管人员和其他直接责任人员，由其行政主管部门或者有关机关给予处分，并予通报：</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（一）应当采用公开招标方式而擅自采用其他方式采购的；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（二）擅自提高采购标准的；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（三）委托不具备政府采购业务代理资格的机构办理采购事务的；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（四）以不合理的条件对供应商实行差别待遇或者歧视待遇的；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（五）在招标采购过程中与投标人进行协商谈判的；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（六）中标、成交通知书发出后不与中标、成交供应商签订采购合同的；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（七）拒绝有关部门依法实施监督检查的。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第七十二条  采购人、采购代理机构及其工作人员有下列情形之一，构成犯罪的，依法追究刑事责任；尚不构成犯罪的，处以罚款，有违法所得的，并处没收违法所得，属于国家机关工作人员的，依法给予行政处分：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（一）与供应商或者采购代理机构恶意串通的；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br/>
                    <w:t>    （二）在采购过程中接受贿赂或者获取其他不正当利益的；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（三）在有关部门依法实施的监督检查中提供虚假情况的；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（四）开标前泄露标底的。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第七十三条  有前两条违法行为之一影响中标、成交结果或者可能影响中标、成交结果的，按下列情况分别处理：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（一）未确定中标、成交供应商的，终止采购活动；</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（二）中标、成交供应商已经确定但采购合同尚未履行的，撤销合同，从合格的中标、成交候选人中另行确定中标、成交供应商；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（三）采购合同已经履行的，给采购人、供应商造成损失的，由责任人承担赔偿责任。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第七十五条  采购人未依法公布政府采购项目的采购标准和采购结果的，责令改正，对直接负责的主管人员依法给予处分。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（一）提供虚假材料谋取中标、成交的；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（二）采取不正当手段诋毁、排挤其他供应商的；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t>    （三）与采购人、其他供应商或者采购代理机构恶意串通的；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（四）向采购人、采购代理机构行贿或者提供其他不正当利益的；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（五）在招标采购过程中与采购人进行协商谈判的；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（六）拒绝有关部门监督检查或者提供虚假情况的。</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供应商有前款第（一）至（五）项情形之一的，中标、成交无效。</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第七十八条  采购代理机构在代理政府采购业务中有违法行为的，按照有关法律规定处以罚款，可以依法取消其进行相关业务的资格，构成犯罪的，依法追究刑事责任。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第七十九条  政府采购当事人有本法第七十一条、第七十二条、第七十七条违法行为之一，给他人造成损失的，并应依照有关民事法律规定承担民事责任。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第八十条  政府采购监督管理部门的工作人员在实施监督检查中违反本法规定滥用职权，玩忽职守，徇私舞弊的，依法给予行政处分；构成犯罪的，依法追究刑事责任。</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第八十一条  政府采购监督管理部门对供应商的投诉逾期未作处理的，给予直接负责的主管人员和其他直接责任人员行政处分。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集中采购机构在政府采购监督管理部门考核中，虚报业绩，隐瞒真实情况的，处以二万元以上二十万元以下的罚款，并予以通报；情节严重的，取消其代理采购的资格。</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第八十三条  任何单位或者个人阻挠和限制供应商进入本地区或者本行业政府采购市场的，责令限期改正；拒不改正的，由该单位、个人的上级行政主管部门或者有关机关给予单位责任人或者个人处分。</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lastRenderedPageBreak/>
                    <w:br/>
                    <w:t>    第九章  附  则</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第八十四条  使用国际组织和外国政府贷款进行的政府采购，贷款方、资金提供方与中方达成的协议对采购的具体条件另有规定的，可以适用其规定，但不得损害国家利益和社会公共利益。</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第八十五条  对因严重自然灾害和其他不可抗力事件所实施的紧急采购和涉及国家安全和秘密的采购，不适用本法。</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第八十六条  军事采购法规由中央军事委员会另行制定。</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第八十七条  本法实施的具体步骤和办法由国务院规定。</w:t>
                  </w:r>
                  <w:r w:rsidRPr="00525C26">
                    <w:rPr>
                      <w:rFonts w:ascii="宋体" w:eastAsia="宋体" w:hAnsi="宋体" w:cs="宋体"/>
                      <w:color w:val="000000"/>
                      <w:sz w:val="24"/>
                      <w:szCs w:val="24"/>
                    </w:rPr>
                    <w:br/>
                  </w:r>
                  <w:r w:rsidRPr="00525C26">
                    <w:rPr>
                      <w:rFonts w:ascii="宋体" w:eastAsia="宋体" w:hAnsi="宋体" w:cs="宋体"/>
                      <w:color w:val="000000"/>
                      <w:sz w:val="24"/>
                      <w:szCs w:val="24"/>
                    </w:rPr>
                    <w:br/>
                    <w:t>    第八十八条  本法自２００３年１月１日起施行。</w:t>
                  </w:r>
                </w:p>
              </w:tc>
            </w:tr>
          </w:tbl>
          <w:p w:rsidR="00525C26" w:rsidRPr="00525C26" w:rsidRDefault="00525C26" w:rsidP="00525C26">
            <w:pPr>
              <w:wordWrap w:val="0"/>
              <w:adjustRightInd/>
              <w:snapToGrid/>
              <w:spacing w:after="0" w:line="480" w:lineRule="atLeast"/>
              <w:rPr>
                <w:rFonts w:ascii="ΟGB2312" w:eastAsia="ΟGB2312" w:hAnsi="宋体" w:cs="宋体"/>
                <w:color w:val="000000"/>
                <w:sz w:val="21"/>
                <w:szCs w:val="21"/>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Ο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25C26"/>
    <w:rsid w:val="00323B43"/>
    <w:rsid w:val="00364AFB"/>
    <w:rsid w:val="003D37D8"/>
    <w:rsid w:val="004358AB"/>
    <w:rsid w:val="00525C26"/>
    <w:rsid w:val="00781ACB"/>
    <w:rsid w:val="008B7726"/>
    <w:rsid w:val="00DB3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747207">
      <w:bodyDiv w:val="1"/>
      <w:marLeft w:val="0"/>
      <w:marRight w:val="0"/>
      <w:marTop w:val="0"/>
      <w:marBottom w:val="0"/>
      <w:divBdr>
        <w:top w:val="none" w:sz="0" w:space="0" w:color="auto"/>
        <w:left w:val="none" w:sz="0" w:space="0" w:color="auto"/>
        <w:bottom w:val="none" w:sz="0" w:space="0" w:color="auto"/>
        <w:right w:val="none" w:sz="0" w:space="0" w:color="auto"/>
      </w:divBdr>
      <w:divsChild>
        <w:div w:id="15211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1</cp:revision>
  <dcterms:created xsi:type="dcterms:W3CDTF">2012-05-02T09:06:00Z</dcterms:created>
  <dcterms:modified xsi:type="dcterms:W3CDTF">2012-05-02T09:06:00Z</dcterms:modified>
</cp:coreProperties>
</file>